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66AD2" w14:textId="77777777" w:rsidR="006A27A6" w:rsidRPr="006A27A6" w:rsidRDefault="006A27A6" w:rsidP="006A27A6">
      <w:pPr>
        <w:rPr>
          <w:b/>
          <w:bCs/>
          <w:sz w:val="32"/>
          <w:szCs w:val="32"/>
        </w:rPr>
      </w:pPr>
      <w:r w:rsidRPr="006A27A6">
        <w:rPr>
          <w:b/>
          <w:bCs/>
          <w:sz w:val="32"/>
          <w:szCs w:val="32"/>
        </w:rPr>
        <w:t>KI und Betriebsvereinbarungen: Ein Muster für Unternehmen</w:t>
      </w:r>
    </w:p>
    <w:p w14:paraId="0753B126" w14:textId="77777777" w:rsidR="006A27A6" w:rsidRPr="004143B5" w:rsidRDefault="006A27A6" w:rsidP="006A27A6">
      <w:pPr>
        <w:spacing w:line="278" w:lineRule="auto"/>
        <w:rPr>
          <w:b/>
          <w:bCs/>
        </w:rPr>
      </w:pPr>
      <w:r w:rsidRPr="004143B5">
        <w:rPr>
          <w:b/>
          <w:bCs/>
        </w:rPr>
        <w:t>Präambel</w:t>
      </w:r>
    </w:p>
    <w:p w14:paraId="30BFBEDF" w14:textId="77777777" w:rsidR="006A27A6" w:rsidRPr="004143B5" w:rsidRDefault="006A27A6" w:rsidP="006A27A6">
      <w:pPr>
        <w:spacing w:line="278" w:lineRule="auto"/>
      </w:pPr>
      <w:r w:rsidRPr="004143B5">
        <w:t xml:space="preserve">Diese </w:t>
      </w:r>
      <w:r>
        <w:t>BV</w:t>
      </w:r>
      <w:r w:rsidRPr="004143B5">
        <w:t xml:space="preserve"> soll den rechts</w:t>
      </w:r>
      <w:r>
        <w:t>konformen</w:t>
      </w:r>
      <w:r w:rsidRPr="004143B5">
        <w:t xml:space="preserve"> Einsatz von KI</w:t>
      </w:r>
      <w:r>
        <w:t>-Systemen</w:t>
      </w:r>
      <w:r w:rsidRPr="004143B5">
        <w:t xml:space="preserve"> im Unternehmen ermöglichen</w:t>
      </w:r>
      <w:r>
        <w:t>. Hierzu treffen die Betriebsparteien Regelungen, um d</w:t>
      </w:r>
      <w:r w:rsidRPr="004143B5">
        <w:t>ie Nutzung nicht freigegebener KI-Systeme („Schatten-KI“)</w:t>
      </w:r>
      <w:r>
        <w:t xml:space="preserve"> zu</w:t>
      </w:r>
      <w:r w:rsidRPr="004143B5">
        <w:t xml:space="preserve"> verhindern, die Pflichten des Arbeitgebers als Betreiber nach der KI-VO </w:t>
      </w:r>
      <w:r>
        <w:t xml:space="preserve">zu </w:t>
      </w:r>
      <w:r w:rsidRPr="004143B5">
        <w:t xml:space="preserve">konkretisieren, den </w:t>
      </w:r>
      <w:r>
        <w:t xml:space="preserve">Beschäftigtendatenschutz zu </w:t>
      </w:r>
      <w:r w:rsidRPr="004143B5">
        <w:t xml:space="preserve">gewährleisten und die Beteiligungsrechte des Betriebsrats </w:t>
      </w:r>
      <w:r>
        <w:t xml:space="preserve">zu </w:t>
      </w:r>
      <w:r w:rsidRPr="004143B5">
        <w:t>wahren.</w:t>
      </w:r>
    </w:p>
    <w:p w14:paraId="470A301A" w14:textId="77777777" w:rsidR="006A27A6" w:rsidRPr="004143B5" w:rsidRDefault="006A27A6" w:rsidP="006A27A6">
      <w:pPr>
        <w:spacing w:line="278" w:lineRule="auto"/>
        <w:rPr>
          <w:b/>
          <w:bCs/>
        </w:rPr>
      </w:pPr>
      <w:r w:rsidRPr="004143B5">
        <w:rPr>
          <w:b/>
          <w:bCs/>
        </w:rPr>
        <w:t>§ 1 Geltungsbereich</w:t>
      </w:r>
    </w:p>
    <w:p w14:paraId="6CE42D09" w14:textId="77777777" w:rsidR="006A27A6" w:rsidRPr="004143B5" w:rsidRDefault="006A27A6" w:rsidP="006A27A6">
      <w:pPr>
        <w:spacing w:line="278" w:lineRule="auto"/>
      </w:pPr>
      <w:r w:rsidRPr="004143B5">
        <w:t xml:space="preserve">(1) Diese </w:t>
      </w:r>
      <w:r>
        <w:t>BV</w:t>
      </w:r>
      <w:r w:rsidRPr="004143B5">
        <w:t xml:space="preserve"> gilt für alle betrieblich eingesetzten KI-Systeme im Sinne der KI-VO. Sie erfasst sowohl Hochrisiko-KI-Systeme als auch sonstige KI-Systeme.</w:t>
      </w:r>
    </w:p>
    <w:p w14:paraId="08A09913" w14:textId="77777777" w:rsidR="006A27A6" w:rsidRPr="00217774" w:rsidRDefault="006A27A6" w:rsidP="006A27A6">
      <w:pPr>
        <w:spacing w:line="278" w:lineRule="auto"/>
      </w:pPr>
      <w:r w:rsidRPr="004143B5">
        <w:t xml:space="preserve">(2) Erfasst sind </w:t>
      </w:r>
      <w:r w:rsidRPr="00217774">
        <w:t>sowohl eigenständige KI-Systeme als auch integrierte KI-Funktionen, die Bestandteil anderer betrieblicher Anwendungen sind, etwa Buchhaltungs-, Controlling-, Personal- oder CRM-Anwendungen.</w:t>
      </w:r>
    </w:p>
    <w:p w14:paraId="141D2979" w14:textId="77777777" w:rsidR="006A27A6" w:rsidRPr="004143B5" w:rsidRDefault="006A27A6" w:rsidP="006A27A6">
      <w:pPr>
        <w:spacing w:line="278" w:lineRule="auto"/>
      </w:pPr>
      <w:r w:rsidRPr="004143B5">
        <w:t xml:space="preserve">(3) Die Unterscheidung nach Abs. 2 dient ausschließlich der praktischen Umsetzung dieser </w:t>
      </w:r>
      <w:r>
        <w:t>BV</w:t>
      </w:r>
      <w:r w:rsidRPr="004143B5">
        <w:t xml:space="preserve"> und enthält keine Aussage über die Risikoeinstufung nach der KI-VO.</w:t>
      </w:r>
    </w:p>
    <w:p w14:paraId="3DCCC9F2" w14:textId="77777777" w:rsidR="006A27A6" w:rsidRDefault="006A27A6" w:rsidP="006A27A6">
      <w:pPr>
        <w:rPr>
          <w:b/>
          <w:bCs/>
        </w:rPr>
      </w:pPr>
      <w:r>
        <w:rPr>
          <w:b/>
          <w:bCs/>
        </w:rPr>
        <w:t>§ 2 Begriffsbestimmungen</w:t>
      </w:r>
    </w:p>
    <w:p w14:paraId="746C0B39" w14:textId="77777777" w:rsidR="006A27A6" w:rsidRPr="00B45488" w:rsidRDefault="006A27A6" w:rsidP="006A27A6">
      <w:r>
        <w:t xml:space="preserve">(1) </w:t>
      </w:r>
      <w:r w:rsidRPr="00B45488">
        <w:t xml:space="preserve">Ausgabedaten sind die von einem KI-System erzeugten Inhalte oder Ergebnisse, </w:t>
      </w:r>
      <w:r>
        <w:t>u.a.</w:t>
      </w:r>
      <w:r w:rsidRPr="00B45488">
        <w:t xml:space="preserve"> Vorhersagen, Empfehlungen, Bewertungen oder Entscheidungen (Output). </w:t>
      </w:r>
    </w:p>
    <w:p w14:paraId="6FF78064" w14:textId="77777777" w:rsidR="006A27A6" w:rsidRDefault="006A27A6" w:rsidP="006A27A6">
      <w:r>
        <w:t xml:space="preserve">(2) Protokolldaten sind automatisch erzeugte Aufzeichnungen über den Betrieb und die Nutzung eines KI-Systems, insbesondere über Nutzerkennung, Zeitpunkt und Umfang der Nutzung sowie technische Ereignisse, Warnungen und Fehlermeldungen. Eingabe- und Ausgabedaten gehören nur dann zu den Protokolldaten, wenn sie vom System als Bestandteil der Protokollierung gespeichert werden. </w:t>
      </w:r>
    </w:p>
    <w:p w14:paraId="050571BF" w14:textId="77777777" w:rsidR="006A27A6" w:rsidRDefault="006A27A6" w:rsidP="006A27A6">
      <w:r>
        <w:t xml:space="preserve">(3) Im Übrigen gelten die Begriffsbestimmungen der Verordnung (EU) 2024/1689 (KI-VO). </w:t>
      </w:r>
    </w:p>
    <w:p w14:paraId="3CE951C7" w14:textId="77777777" w:rsidR="006A27A6" w:rsidRPr="004143B5" w:rsidRDefault="006A27A6" w:rsidP="006A27A6">
      <w:pPr>
        <w:spacing w:line="278" w:lineRule="auto"/>
        <w:rPr>
          <w:b/>
          <w:bCs/>
        </w:rPr>
      </w:pPr>
      <w:r w:rsidRPr="004143B5">
        <w:rPr>
          <w:b/>
          <w:bCs/>
        </w:rPr>
        <w:t>§ 3 Freigabe von KI-Systemen</w:t>
      </w:r>
    </w:p>
    <w:p w14:paraId="5DF30B45" w14:textId="77777777" w:rsidR="006A27A6" w:rsidRPr="004143B5" w:rsidRDefault="006A27A6" w:rsidP="006A27A6">
      <w:pPr>
        <w:spacing w:line="278" w:lineRule="auto"/>
      </w:pPr>
      <w:r w:rsidRPr="004143B5">
        <w:t>(1) Beschäftigte dürfen für betriebliche Zwecke nur vom Arbeitgeber freigegebene KI-Systeme verwenden. Nicht freigegebene KI-Systeme („Schatten-KI“) sind für betriebliche Zwecke unzulässig.</w:t>
      </w:r>
    </w:p>
    <w:p w14:paraId="500436F3" w14:textId="77777777" w:rsidR="006A27A6" w:rsidRPr="004143B5" w:rsidRDefault="006A27A6" w:rsidP="006A27A6">
      <w:pPr>
        <w:spacing w:line="278" w:lineRule="auto"/>
      </w:pPr>
      <w:r w:rsidRPr="004143B5">
        <w:t xml:space="preserve">(2) Freigegebene eigenständige KI-Systeme ergeben sich aus [Anlage </w:t>
      </w:r>
      <w:r>
        <w:t>„</w:t>
      </w:r>
      <w:r w:rsidRPr="004143B5">
        <w:t>KI-Verzeichnis</w:t>
      </w:r>
      <w:r>
        <w:t>“</w:t>
      </w:r>
      <w:r w:rsidRPr="004143B5">
        <w:t>].</w:t>
      </w:r>
    </w:p>
    <w:p w14:paraId="4CBCDCCC" w14:textId="77777777" w:rsidR="006A27A6" w:rsidRPr="004143B5" w:rsidRDefault="006A27A6" w:rsidP="006A27A6">
      <w:pPr>
        <w:spacing w:line="278" w:lineRule="auto"/>
      </w:pPr>
      <w:r w:rsidRPr="004143B5">
        <w:t xml:space="preserve">(3) Integrierte KI-Funktionen gelten mit der jeweiligen Anwendung als freigegeben, soweit durch sie keine neuen oder wesentlich veränderten Verarbeitungszwecke, Auswertungs- oder Kontrollmöglichkeiten entstehen. </w:t>
      </w:r>
    </w:p>
    <w:p w14:paraId="046F53C2" w14:textId="77777777" w:rsidR="006A27A6" w:rsidRPr="004143B5" w:rsidRDefault="006A27A6" w:rsidP="006A27A6">
      <w:pPr>
        <w:spacing w:line="278" w:lineRule="auto"/>
      </w:pPr>
      <w:r w:rsidRPr="004143B5">
        <w:lastRenderedPageBreak/>
        <w:t xml:space="preserve">(4) Maßnahmen zur Erkennung von Schatten-KI erfolgen </w:t>
      </w:r>
      <w:r w:rsidRPr="00AE6A5D">
        <w:t>unter Beachtung des Grundsatzes der Datenminimierung</w:t>
      </w:r>
      <w:r w:rsidRPr="004143B5">
        <w:t>. Soweit möglich, werden lediglich aggregierte Angaben über die Nutzung nicht freigegebener KI-Systeme ausgewertet.</w:t>
      </w:r>
    </w:p>
    <w:p w14:paraId="3DECDE31" w14:textId="77777777" w:rsidR="006A27A6" w:rsidRDefault="006A27A6" w:rsidP="006A27A6">
      <w:pPr>
        <w:rPr>
          <w:b/>
          <w:bCs/>
        </w:rPr>
      </w:pPr>
      <w:r>
        <w:rPr>
          <w:b/>
          <w:bCs/>
        </w:rPr>
        <w:t>§ 4 Eingabe- und Ausgabedaten</w:t>
      </w:r>
    </w:p>
    <w:p w14:paraId="4314D7CA" w14:textId="77777777" w:rsidR="006A27A6" w:rsidRDefault="006A27A6" w:rsidP="006A27A6">
      <w:r>
        <w:t xml:space="preserve">(1) Personenbezogene Daten dürfen verarbeitet werden, soweit dies für den freigegebenen Zweck erforderlich ist. Eingabe- und Ausgabedaten sind zu anonymisieren, soweit der jeweilige Verarbeitungszweck auch mit anonymisierten Daten erreicht werden kann. </w:t>
      </w:r>
    </w:p>
    <w:p w14:paraId="11A73FFF" w14:textId="77777777" w:rsidR="006A27A6" w:rsidRDefault="006A27A6" w:rsidP="006A27A6">
      <w:r>
        <w:t>(2) Für Geschäfts- und Betriebsgeheimnisse sowie besonders vertrauliche Informationen sind vorrangig Systeme in einer vom Arbeitgeber kontrollierten Umgebung, insbesondere On-</w:t>
      </w:r>
      <w:proofErr w:type="spellStart"/>
      <w:r>
        <w:t>Premise</w:t>
      </w:r>
      <w:proofErr w:type="spellEnd"/>
      <w:r>
        <w:t xml:space="preserve">, einzusetzen. </w:t>
      </w:r>
    </w:p>
    <w:p w14:paraId="584EC46B" w14:textId="77777777" w:rsidR="006A27A6" w:rsidRDefault="006A27A6" w:rsidP="006A27A6">
      <w:r>
        <w:t xml:space="preserve">(3) Ausgabedaten des KI-Systems sind vor ihrer betrieblichen Verwendung mindestens auf Plausibilität zu prüfen. Sollen die Ausgabedaten Grundlage eines Rechtsgeschäfts, einer fachlichen Entscheidung oder einer sonstigen Maßnahme mit rechtlichen oder erheblichen wirtschaftlichen Folgen werden, sind entscheidungserhebliche Tatsachen, Berechnungen, Rechtsvorschriften und Fundstellen anhand verlässlicher Originalquellen zu überprüfen. </w:t>
      </w:r>
    </w:p>
    <w:p w14:paraId="60D23235" w14:textId="77777777" w:rsidR="006A27A6" w:rsidRDefault="006A27A6" w:rsidP="006A27A6">
      <w:pPr>
        <w:rPr>
          <w:b/>
          <w:bCs/>
        </w:rPr>
      </w:pPr>
      <w:r>
        <w:rPr>
          <w:b/>
          <w:bCs/>
        </w:rPr>
        <w:t>§ 5 Hochrisiko-KI-Systeme</w:t>
      </w:r>
    </w:p>
    <w:p w14:paraId="7ADD0653" w14:textId="77777777" w:rsidR="006A27A6" w:rsidRDefault="006A27A6" w:rsidP="006A27A6">
      <w:r>
        <w:t>(1) Hochrisiko-KI-Systeme dürfen ausschließlich entsprechend der Betriebsanleitung des Anbieters eingesetzt werden. Die aktuelle Betriebsanleitung ist den betroffenen Beschäftigten dauerhaft zugänglich zu machen.</w:t>
      </w:r>
    </w:p>
    <w:p w14:paraId="0C488DA6" w14:textId="77777777" w:rsidR="006A27A6" w:rsidRDefault="006A27A6" w:rsidP="006A27A6">
      <w:r>
        <w:t xml:space="preserve">(2) Der Arbeitgeber trifft geeignete technische und organisatorische Maßnahmen zur Verwendung nach der Betriebsanleitung. Dazu gehören insbesondere </w:t>
      </w:r>
      <w:r w:rsidRPr="00C857D8">
        <w:t xml:space="preserve">Berechtigungskonzepte, die Beschränkung auf die vorgesehene Zweckbestimmung und Kontrollen der bestimmungsgemäßen Nutzung. </w:t>
      </w:r>
    </w:p>
    <w:p w14:paraId="566ED792" w14:textId="77777777" w:rsidR="006A27A6" w:rsidRDefault="006A27A6" w:rsidP="006A27A6">
      <w:r>
        <w:t>(3) Der Arbeitgeber überprüft in angemessenen Abständen durch Stichproben, ob ein Hochrisiko-KI-System entsprechend der Zweckbestimmung und Betriebsanleitung verwendet wird. Personenbezogene Auswertungen sind auf das erforderliche Maß zu beschränken.</w:t>
      </w:r>
    </w:p>
    <w:p w14:paraId="7550D3B4" w14:textId="77777777" w:rsidR="006A27A6" w:rsidRDefault="006A27A6" w:rsidP="006A27A6">
      <w:r>
        <w:t>(4) Für jedes Hochrisiko-KI-System wird mindestens eine natürliche Person mit der menschlichen Aufsicht nach Art. 26 Abs. 2 KI-VO betraut und in [</w:t>
      </w:r>
      <w:r w:rsidRPr="004143B5">
        <w:t xml:space="preserve">Anlage </w:t>
      </w:r>
      <w:r>
        <w:t>„</w:t>
      </w:r>
      <w:r w:rsidRPr="004143B5">
        <w:t>KI-Verzeichnis</w:t>
      </w:r>
      <w:r>
        <w:t xml:space="preserve">“] benannt. Sie muss über die erforderliche Kompetenz, </w:t>
      </w:r>
      <w:r w:rsidRPr="00751106">
        <w:t>Ausbildung</w:t>
      </w:r>
      <w:r>
        <w:t xml:space="preserve"> und Befugnis verfügen sowie mit der grundlegenden technischen Funktionsweise des Hochrisiko-KI-Systems vertraut sein. Die Aufsichtsperson muss insbesondere die Fähigkeiten und Grenzen des Hochrisiko-KI-Systems verstehen, seinen Betrieb überwachen, Anomalien, Fehlfunktionen und unerwartete Leistungen erkennen, Ausgaben sachgerecht interpretieren und erforderlichenfalls deren Verwendung ablehnen, übersteuern oder </w:t>
      </w:r>
      <w:r>
        <w:lastRenderedPageBreak/>
        <w:t xml:space="preserve">den Betrieb des Hochrisiko-KI-Systems unterbrechen können. Die vom Anbieter vorgesehenen Maßnahmen zur menschlichen Aufsicht sind zu beachten. </w:t>
      </w:r>
    </w:p>
    <w:p w14:paraId="38D68E29" w14:textId="77777777" w:rsidR="006A27A6" w:rsidRDefault="006A27A6" w:rsidP="006A27A6">
      <w:r>
        <w:t xml:space="preserve">(5) </w:t>
      </w:r>
      <w:r w:rsidRPr="00CF43D3">
        <w:t xml:space="preserve">Erfordert eine Kontrolle den Zugriff auf Eingabe-, Ausgabe- oder Protokolldaten mit </w:t>
      </w:r>
      <w:r>
        <w:t>Personenbezug</w:t>
      </w:r>
      <w:r w:rsidRPr="00CF43D3">
        <w:t xml:space="preserve">, erfolgt der Zugriff durch einen hierzu berechtigten Administrator unter Hinzuziehung eines vom Betriebsrat benannten Mitglieds. </w:t>
      </w:r>
      <w:r>
        <w:t xml:space="preserve">Der betriebliche Datenschutzbeauftragte soll an der Kontrolle beteiligt werden. Anlass, Umfang, </w:t>
      </w:r>
      <w:r w:rsidRPr="005C3298">
        <w:t>beteiligte Personen</w:t>
      </w:r>
      <w:r>
        <w:t xml:space="preserve"> und Ergebnis des Zugriffs sind zu dokumentieren.</w:t>
      </w:r>
    </w:p>
    <w:p w14:paraId="1A1898C8" w14:textId="77777777" w:rsidR="006A27A6" w:rsidRDefault="006A27A6" w:rsidP="006A27A6">
      <w:r>
        <w:t>(6) Fehlfunktionen, auffällige oder offensichtlich fehlerhafte Ergebnisse sowie sonstige Anzeichen eines nicht bestimmungsgemäßen Betriebs sind unverzüglich der mit der menschlichen Aufsicht betrauten Person zu melden.</w:t>
      </w:r>
    </w:p>
    <w:p w14:paraId="3CA9FAFC" w14:textId="77777777" w:rsidR="006A27A6" w:rsidRDefault="006A27A6" w:rsidP="006A27A6">
      <w:pPr>
        <w:rPr>
          <w:b/>
          <w:bCs/>
        </w:rPr>
      </w:pPr>
      <w:r>
        <w:rPr>
          <w:b/>
          <w:bCs/>
        </w:rPr>
        <w:t>§ 6 Protokollierung sowie Leistungs- und Verhaltenskontrolle</w:t>
      </w:r>
    </w:p>
    <w:p w14:paraId="600E7694" w14:textId="77777777" w:rsidR="006A27A6" w:rsidRDefault="006A27A6" w:rsidP="006A27A6">
      <w:r>
        <w:t>(1) Eingabe-, Ausgabe- oder Protokolldaten dürfen nur für festgelegte Zwecke verarbeitet werden, insbesondere zur Erfüllung gesetzlicher Betreiberpflichten, Informations- und Systemsicherheit, Fehleranalyse, Kosten- und Abrechnungskontrolle sowie zur Kontrolle dieser BV.</w:t>
      </w:r>
    </w:p>
    <w:p w14:paraId="25E7EE39" w14:textId="77777777" w:rsidR="006A27A6" w:rsidRDefault="006A27A6" w:rsidP="006A27A6">
      <w:r>
        <w:t xml:space="preserve">(2) </w:t>
      </w:r>
      <w:r w:rsidRPr="0026003A">
        <w:t>Bei Hochrisiko-KI-Systemen dürfen Eingabe-, Ausgabe- oder Protokolldaten ausgewertet werden, um die Verwendung nach der Betriebsanleitung, die ordnungsgemäße Wahrnehmung der menschlichen Aufsicht, den Umgang mit Warnungen und Fehlfunktionen zu überprüfen</w:t>
      </w:r>
      <w:r>
        <w:t xml:space="preserve"> sowie sonstige Betreiberpflichten zu erfüllen.</w:t>
      </w:r>
    </w:p>
    <w:p w14:paraId="4DAACE1C" w14:textId="77777777" w:rsidR="006A27A6" w:rsidRDefault="006A27A6" w:rsidP="006A27A6">
      <w:r>
        <w:t xml:space="preserve">(3) Für jedes KI-System ist festzulegen, welche Eingabe-, Ausgabe- oder Protokolldaten verarbeitet werden. </w:t>
      </w:r>
      <w:r w:rsidRPr="00CF4B7A">
        <w:t xml:space="preserve">Handelt es sich hierbei um personenbezogene Daten der Beschäftigten, ist eine vollständige Einsicht in diese Daten nur zulässig, soweit der Kontrollzweck nicht durch eine anonymisierte, pseudonymisierte oder aggregierte Auswertung erreicht werden kann. </w:t>
      </w:r>
    </w:p>
    <w:p w14:paraId="2CB1D400" w14:textId="77777777" w:rsidR="006A27A6" w:rsidRDefault="006A27A6" w:rsidP="006A27A6">
      <w:r>
        <w:t xml:space="preserve">(4) Bei verbrauchsabhängig abgerechneten KI-Systemen dürfen Token oder vergleichbare Abrechnungseinheiten verarbeitet werden. Zur Kostenkontrolle erfolgt die Auswertung grundsätzlich aggregiert. Eine personenbezogene Auswertung ist nur für die konkrete Abrechnung oder die Aufklärung erheblicher Kostenabweichungen zulässig. Aus dem individuellen </w:t>
      </w:r>
      <w:proofErr w:type="spellStart"/>
      <w:r>
        <w:t>Tokenverbrauch</w:t>
      </w:r>
      <w:proofErr w:type="spellEnd"/>
      <w:r>
        <w:t xml:space="preserve"> oder Nutzungsumfang dürfen keine Rückschlüsse auf die individuelle Arbeitsleistung der Beschäftigten gezogen werden.</w:t>
      </w:r>
    </w:p>
    <w:p w14:paraId="3D1ED6F2" w14:textId="77777777" w:rsidR="006A27A6" w:rsidRDefault="006A27A6" w:rsidP="006A27A6">
      <w:r>
        <w:t xml:space="preserve">(5) Beschäftigte sind vor der Nutzung über Umfang, Zweck, Zugriffsberechtigte und Speicherdauer der Eingabe-, Ausgabe- oder Protokolldaten zu informieren. Nach einer personenbezogenen Auswertung ist der Betroffene unverzüglich, spätestens innerhalb von [sieben] Kalendertagen darüber zu informieren. </w:t>
      </w:r>
      <w:r w:rsidRPr="00334857">
        <w:t xml:space="preserve">Eine spätere Information ist zulässig, soweit andernfalls der Zweck der Kontrollmaßnahme gefährdet </w:t>
      </w:r>
      <w:r>
        <w:t>sein würde</w:t>
      </w:r>
      <w:r w:rsidRPr="00334857">
        <w:t xml:space="preserve">. </w:t>
      </w:r>
    </w:p>
    <w:p w14:paraId="6328DEAC" w14:textId="77777777" w:rsidR="006A27A6" w:rsidRDefault="006A27A6" w:rsidP="006A27A6">
      <w:r>
        <w:lastRenderedPageBreak/>
        <w:t xml:space="preserve">(6) </w:t>
      </w:r>
      <w:r w:rsidRPr="00A54469">
        <w:t>Eingabe-, Ausgabe- oder Protokolldaten dürfen nicht zur allgemeinen oder dauerhaften Bewertung des Verhaltens oder der Leistung der Beschäftigten verwendet werden.</w:t>
      </w:r>
    </w:p>
    <w:p w14:paraId="31F367BE" w14:textId="77777777" w:rsidR="006A27A6" w:rsidRDefault="006A27A6" w:rsidP="006A27A6">
      <w:r>
        <w:t>(7) Automatisch erzeugte Protokolle von Hochrisiko-KI-Systemen, die der Kontrolle des Arbeitgebers unterliegen, werden nach Art. 26 Abs. 6 KI-VO mindestens [sechs] Monate aufbewahrt. Für sonstige personenbezogene Eingabe-, Ausgabe- oder Protokolldaten beträgt die Speicherfrist grundsätzlich höchstens [drei] Monate. Weitergehende personenbezogene Auswertungen zur Aufklärung eines konkreten Verdachts auf eine Straftat oder schwerwiegende Pflichtverletzung bleiben unter Beachtung der gesetzlichen Voraussetzungen und Beteiligungsrechte zulässig.</w:t>
      </w:r>
    </w:p>
    <w:p w14:paraId="61DFB625" w14:textId="77777777" w:rsidR="006A27A6" w:rsidRDefault="006A27A6" w:rsidP="006A27A6">
      <w:pPr>
        <w:rPr>
          <w:b/>
          <w:bCs/>
        </w:rPr>
      </w:pPr>
      <w:r>
        <w:rPr>
          <w:b/>
          <w:bCs/>
        </w:rPr>
        <w:t>§ 7 Rechte der Beschäftigten und KI-Kompetenz</w:t>
      </w:r>
    </w:p>
    <w:p w14:paraId="5E5B8647" w14:textId="77777777" w:rsidR="006A27A6" w:rsidRDefault="006A27A6" w:rsidP="006A27A6">
      <w:r>
        <w:t xml:space="preserve">(1) Beschäftigte erhalten Zugang zu den erforderlichen Betriebsanleitungen, internen Nutzungshinweisen und den in dieser Vereinbarung in Bezug genommenen Dokumenten. Für jedes KI-System ist eine Ansprechperson oder Stelle für Fragen und Meldungen zu benennen; bei Hochrisiko-KI-Systemen soll dies grundsätzlich die mit der menschlichen Aufsicht betraute Person sein. </w:t>
      </w:r>
    </w:p>
    <w:p w14:paraId="783B2DA7" w14:textId="77777777" w:rsidR="006A27A6" w:rsidRDefault="006A27A6" w:rsidP="006A27A6">
      <w:r>
        <w:t>(2) Beschäftigte, die KI-Systeme nutzen, nehmen mindestens [einmal] jährlich während der Arbeitszeit und auf Kosten des Arbeitgebers an einer Schulung zur KI-Nutzung teil. Sie umfasst insbesondere Einsatzbereiche, Ergebnisprüfung, Datenschutz und Informationssicherheit.</w:t>
      </w:r>
    </w:p>
    <w:p w14:paraId="11535409" w14:textId="77777777" w:rsidR="006A27A6" w:rsidRDefault="006A27A6" w:rsidP="006A27A6">
      <w:r>
        <w:t>(3) Vor der erstmaligen Nutzung eines Hochrisiko-KI-Systems erhalten die betroffenen Beschäftigten eine anwendungsspezifische Einweisung. Mit der menschlichen Aufsicht betraute Personen erhalten zusätzlich eine vertiefte Schulung zu Funktionsweise, Grenzen, Betriebsanleitung, Warn- und Fehlermeldungen, Kontrollmöglichkeiten und Eingriffsbefugnissen. Bei wesentlichen Änderungen ist sie zu wiederholen.</w:t>
      </w:r>
    </w:p>
    <w:p w14:paraId="44CB9431" w14:textId="77777777" w:rsidR="006A27A6" w:rsidRDefault="006A27A6" w:rsidP="006A27A6">
      <w:pPr>
        <w:rPr>
          <w:b/>
          <w:bCs/>
        </w:rPr>
      </w:pPr>
      <w:r>
        <w:rPr>
          <w:b/>
          <w:bCs/>
        </w:rPr>
        <w:t>§ 8 Beteiligung des Betriebsrats</w:t>
      </w:r>
    </w:p>
    <w:p w14:paraId="5100FB1C" w14:textId="77777777" w:rsidR="006A27A6" w:rsidRDefault="006A27A6" w:rsidP="006A27A6">
      <w:r>
        <w:t xml:space="preserve">(1) </w:t>
      </w:r>
      <w:r w:rsidRPr="000E29FE">
        <w:t>Der Betriebsrat ist über die geplante Einführung eines neuen KI-Systems sowie über wesentliche Updates und Fehlerbehebungen rechtzeitig zu informieren, soweit diese mit Änderungen der Funktion</w:t>
      </w:r>
      <w:r>
        <w:t>en</w:t>
      </w:r>
      <w:r w:rsidRPr="000E29FE">
        <w:t>, Auswertungs- oder Kontrollmöglichkeiten, der Zweckbestimmung oder der Risikoeinstufung verbunden sind.</w:t>
      </w:r>
      <w:r>
        <w:t xml:space="preserve"> Die Information umfasst insbesondere Anbieter, Einsatzzweck, Nutzerkreis, wesentliche Funktionen, Datenkategorien, Protokollierungs- und Auswertungsmöglichkeiten sowie Risikoeinstufung.</w:t>
      </w:r>
    </w:p>
    <w:p w14:paraId="2DAE3CD0" w14:textId="77777777" w:rsidR="006A27A6" w:rsidRDefault="006A27A6" w:rsidP="006A27A6">
      <w:r>
        <w:t xml:space="preserve">(2) Der Betriebsrat ist bei Änderungen eines KI-Systems erneut zu beteiligen, soweit ein Mitbestimmungsrecht berührt wird. Dies gilt insbesondere bei Änderungen der Protokollierungs- oder Kontrollmöglichkeiten, der betroffenen Personen, der Risikoeinstufung oder der Zweckbestimmung sowie bei </w:t>
      </w:r>
      <w:r w:rsidRPr="006E5A03">
        <w:t>Maßnahmen, durch die der Arbeitgeber nach Art. 25 KI-VO als Anbieter gilt</w:t>
      </w:r>
      <w:r>
        <w:t>.</w:t>
      </w:r>
      <w:r w:rsidRPr="006E5A03">
        <w:t xml:space="preserve"> </w:t>
      </w:r>
    </w:p>
    <w:p w14:paraId="105FB0A9" w14:textId="77777777" w:rsidR="006A27A6" w:rsidRDefault="006A27A6" w:rsidP="006A27A6">
      <w:r>
        <w:lastRenderedPageBreak/>
        <w:t>(3) [Anlage „KI-Verzeichnis“] ist bei Einführung, Änderung oder Außerbetriebnahme unverzüglich zu aktualisieren.</w:t>
      </w:r>
    </w:p>
    <w:p w14:paraId="4209069B" w14:textId="77777777" w:rsidR="006A27A6" w:rsidRDefault="006A27A6" w:rsidP="006A27A6">
      <w:r>
        <w:t>(4) Der Arbeitgeber kann im Rahmen seines Direktionsrechts ergänzende Arbeits-, Bedienungs- und Nutzungshinweise erlassen, insbesondere zur Kennzeichnung KI-generierter Inhalte und zur Informationssicherheit.</w:t>
      </w:r>
    </w:p>
    <w:p w14:paraId="6F4F3F86" w14:textId="77777777" w:rsidR="006A27A6" w:rsidRDefault="006A27A6" w:rsidP="006A27A6"/>
    <w:p w14:paraId="4842EBBA" w14:textId="77777777" w:rsidR="005C37F0" w:rsidRPr="006A27A6" w:rsidRDefault="005C37F0" w:rsidP="006A27A6"/>
    <w:sectPr w:rsidR="005C37F0" w:rsidRPr="006A27A6"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79BCA" w14:textId="77777777" w:rsidR="007E550C" w:rsidRDefault="007E550C" w:rsidP="00645C6A">
      <w:pPr>
        <w:spacing w:after="0" w:line="240" w:lineRule="auto"/>
      </w:pPr>
      <w:r>
        <w:separator/>
      </w:r>
    </w:p>
  </w:endnote>
  <w:endnote w:type="continuationSeparator" w:id="0">
    <w:p w14:paraId="5480FB5C" w14:textId="77777777" w:rsidR="007E550C" w:rsidRDefault="007E550C"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22B4" w14:textId="2AA14EB4"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w:t>
    </w:r>
    <w:proofErr w:type="spellStart"/>
    <w:r w:rsidR="00E70077">
      <w:rPr>
        <w:sz w:val="16"/>
        <w:szCs w:val="16"/>
      </w:rPr>
      <w:t>Intelligence</w:t>
    </w:r>
    <w:proofErr w:type="spellEnd"/>
    <w:r w:rsidRPr="0012313C">
      <w:rPr>
        <w:sz w:val="16"/>
        <w:szCs w:val="16"/>
      </w:rPr>
      <w:t xml:space="preserve"> GmbH &amp; Co. KG | </w:t>
    </w:r>
    <w:r w:rsidR="00645C6A" w:rsidRPr="0012313C">
      <w:rPr>
        <w:sz w:val="16"/>
        <w:szCs w:val="16"/>
      </w:rPr>
      <w:t xml:space="preserve">Alle Angaben ohne </w:t>
    </w:r>
    <w:r w:rsidR="00154639" w:rsidRPr="0012313C">
      <w:rPr>
        <w:sz w:val="16"/>
        <w:szCs w:val="16"/>
      </w:rPr>
      <w:t xml:space="preserve">Gewähr | </w:t>
    </w:r>
    <w:proofErr w:type="gramStart"/>
    <w:r w:rsidR="00285175">
      <w:rPr>
        <w:sz w:val="16"/>
        <w:szCs w:val="16"/>
      </w:rPr>
      <w:t>KI PRAXIS</w:t>
    </w:r>
    <w:proofErr w:type="gramEnd"/>
    <w:r w:rsidR="00285175">
      <w:rPr>
        <w:sz w:val="16"/>
        <w:szCs w:val="16"/>
      </w:rPr>
      <w:t xml:space="preserve"> by WEKA</w:t>
    </w:r>
    <w:r w:rsidR="00E27CF3" w:rsidRPr="0012313C">
      <w:rPr>
        <w:sz w:val="16"/>
        <w:szCs w:val="16"/>
      </w:rPr>
      <w:t xml:space="preserve"> |</w:t>
    </w:r>
    <w:r w:rsidR="00E27CF3">
      <w:rPr>
        <w:sz w:val="16"/>
        <w:szCs w:val="16"/>
      </w:rPr>
      <w:t xml:space="preserve"> Autor: </w:t>
    </w:r>
    <w:r w:rsidR="006A27A6">
      <w:rPr>
        <w:sz w:val="16"/>
        <w:szCs w:val="16"/>
      </w:rPr>
      <w:t>Kristin Benedikt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356CE" w14:textId="77777777" w:rsidR="007E550C" w:rsidRDefault="007E550C" w:rsidP="00645C6A">
      <w:pPr>
        <w:spacing w:after="0" w:line="240" w:lineRule="auto"/>
      </w:pPr>
      <w:r>
        <w:separator/>
      </w:r>
    </w:p>
  </w:footnote>
  <w:footnote w:type="continuationSeparator" w:id="0">
    <w:p w14:paraId="64E4C766" w14:textId="77777777" w:rsidR="007E550C" w:rsidRDefault="007E550C"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C2F06" w14:textId="1D84D34D" w:rsidR="00645C6A" w:rsidRDefault="00285175">
    <w:pPr>
      <w:pStyle w:val="Kopfzeile"/>
    </w:pPr>
    <w:r w:rsidRPr="00285175">
      <w:rPr>
        <w:noProof/>
      </w:rPr>
      <w:drawing>
        <wp:inline distT="0" distB="0" distL="0" distR="0" wp14:anchorId="0BAAF1CA" wp14:editId="162857C4">
          <wp:extent cx="5905532" cy="1372333"/>
          <wp:effectExtent l="0" t="0" r="0" b="0"/>
          <wp:docPr id="17923108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10855" name="Grafik 1"/>
                  <pic:cNvPicPr/>
                </pic:nvPicPr>
                <pic:blipFill>
                  <a:blip r:embed="rId1">
                    <a:extLst>
                      <a:ext uri="{28A0092B-C50C-407E-A947-70E740481C1C}">
                        <a14:useLocalDpi xmlns:a14="http://schemas.microsoft.com/office/drawing/2010/main" val="0"/>
                      </a:ext>
                    </a:extLst>
                  </a:blip>
                  <a:stretch>
                    <a:fillRect/>
                  </a:stretch>
                </pic:blipFill>
                <pic:spPr>
                  <a:xfrm>
                    <a:off x="0" y="0"/>
                    <a:ext cx="5905532" cy="1372333"/>
                  </a:xfrm>
                  <a:prstGeom prst="rect">
                    <a:avLst/>
                  </a:prstGeom>
                </pic:spPr>
              </pic:pic>
            </a:graphicData>
          </a:graphic>
        </wp:inline>
      </w:drawing>
    </w:r>
  </w:p>
  <w:p w14:paraId="400A6E58" w14:textId="77777777" w:rsidR="005B72D5" w:rsidRDefault="005B72D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3F0E"/>
    <w:multiLevelType w:val="hybridMultilevel"/>
    <w:tmpl w:val="71E24E2A"/>
    <w:lvl w:ilvl="0" w:tplc="9C18D650">
      <w:numFmt w:val="bullet"/>
      <w:lvlText w:val="•"/>
      <w:lvlJc w:val="left"/>
      <w:pPr>
        <w:ind w:left="1065" w:hanging="705"/>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6D2DAD"/>
    <w:multiLevelType w:val="hybridMultilevel"/>
    <w:tmpl w:val="F5DCA4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AA453DC"/>
    <w:multiLevelType w:val="hybridMultilevel"/>
    <w:tmpl w:val="BAF2881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42E6241"/>
    <w:multiLevelType w:val="hybridMultilevel"/>
    <w:tmpl w:val="433851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8D11B34"/>
    <w:multiLevelType w:val="multilevel"/>
    <w:tmpl w:val="BA76F08E"/>
    <w:lvl w:ilvl="0">
      <w:start w:val="1"/>
      <w:numFmt w:val="bullet"/>
      <w:lvlText w:val=""/>
      <w:lvlJc w:val="left"/>
      <w:pPr>
        <w:tabs>
          <w:tab w:val="num" w:pos="1956"/>
        </w:tabs>
        <w:ind w:left="1956" w:hanging="425"/>
      </w:pPr>
      <w:rPr>
        <w:rFonts w:ascii="Symbol" w:hAnsi="Symbol" w:hint="default"/>
        <w:color w:val="000000"/>
        <w:sz w:val="18"/>
      </w:rPr>
    </w:lvl>
    <w:lvl w:ilvl="1">
      <w:start w:val="1"/>
      <w:numFmt w:val="lowerLetter"/>
      <w:lvlText w:val="%2)"/>
      <w:lvlJc w:val="left"/>
      <w:pPr>
        <w:tabs>
          <w:tab w:val="num" w:pos="2251"/>
        </w:tabs>
        <w:ind w:left="2251" w:hanging="360"/>
      </w:pPr>
    </w:lvl>
    <w:lvl w:ilvl="2">
      <w:start w:val="1"/>
      <w:numFmt w:val="lowerRoman"/>
      <w:lvlText w:val="%3)"/>
      <w:lvlJc w:val="left"/>
      <w:pPr>
        <w:tabs>
          <w:tab w:val="num" w:pos="2611"/>
        </w:tabs>
        <w:ind w:left="2611" w:hanging="360"/>
      </w:pPr>
    </w:lvl>
    <w:lvl w:ilvl="3">
      <w:start w:val="1"/>
      <w:numFmt w:val="decimal"/>
      <w:lvlText w:val="(%4)"/>
      <w:lvlJc w:val="left"/>
      <w:pPr>
        <w:tabs>
          <w:tab w:val="num" w:pos="2971"/>
        </w:tabs>
        <w:ind w:left="2971" w:hanging="360"/>
      </w:pPr>
    </w:lvl>
    <w:lvl w:ilvl="4">
      <w:start w:val="1"/>
      <w:numFmt w:val="lowerLetter"/>
      <w:lvlText w:val="(%5)"/>
      <w:lvlJc w:val="left"/>
      <w:pPr>
        <w:tabs>
          <w:tab w:val="num" w:pos="3331"/>
        </w:tabs>
        <w:ind w:left="3331" w:hanging="360"/>
      </w:pPr>
    </w:lvl>
    <w:lvl w:ilvl="5">
      <w:start w:val="1"/>
      <w:numFmt w:val="lowerRoman"/>
      <w:lvlText w:val="(%6)"/>
      <w:lvlJc w:val="left"/>
      <w:pPr>
        <w:tabs>
          <w:tab w:val="num" w:pos="3691"/>
        </w:tabs>
        <w:ind w:left="3691" w:hanging="360"/>
      </w:pPr>
    </w:lvl>
    <w:lvl w:ilvl="6">
      <w:start w:val="1"/>
      <w:numFmt w:val="decimal"/>
      <w:lvlText w:val="%7."/>
      <w:lvlJc w:val="left"/>
      <w:pPr>
        <w:tabs>
          <w:tab w:val="num" w:pos="4051"/>
        </w:tabs>
        <w:ind w:left="4051" w:hanging="360"/>
      </w:pPr>
    </w:lvl>
    <w:lvl w:ilvl="7">
      <w:start w:val="1"/>
      <w:numFmt w:val="lowerLetter"/>
      <w:lvlText w:val="%8."/>
      <w:lvlJc w:val="left"/>
      <w:pPr>
        <w:tabs>
          <w:tab w:val="num" w:pos="4411"/>
        </w:tabs>
        <w:ind w:left="4411" w:hanging="360"/>
      </w:pPr>
    </w:lvl>
    <w:lvl w:ilvl="8">
      <w:start w:val="1"/>
      <w:numFmt w:val="lowerRoman"/>
      <w:lvlText w:val="%9."/>
      <w:lvlJc w:val="left"/>
      <w:pPr>
        <w:tabs>
          <w:tab w:val="num" w:pos="4771"/>
        </w:tabs>
        <w:ind w:left="4771" w:hanging="360"/>
      </w:pPr>
    </w:lvl>
  </w:abstractNum>
  <w:abstractNum w:abstractNumId="10" w15:restartNumberingAfterBreak="0">
    <w:nsid w:val="330867B9"/>
    <w:multiLevelType w:val="hybridMultilevel"/>
    <w:tmpl w:val="8ABCE8F4"/>
    <w:lvl w:ilvl="0" w:tplc="9378DC5E">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736497"/>
    <w:multiLevelType w:val="multilevel"/>
    <w:tmpl w:val="DD3272DA"/>
    <w:lvl w:ilvl="0">
      <w:start w:val="1"/>
      <w:numFmt w:val="bullet"/>
      <w:pStyle w:val="Liste1"/>
      <w:lvlText w:val="·"/>
      <w:lvlJc w:val="left"/>
      <w:pPr>
        <w:tabs>
          <w:tab w:val="num" w:pos="1891"/>
        </w:tabs>
        <w:ind w:left="1891" w:hanging="360"/>
      </w:pPr>
      <w:rPr>
        <w:rFonts w:ascii="Symbol" w:hAnsi="Symbol" w:hint="default"/>
        <w:color w:val="000000"/>
        <w:sz w:val="20"/>
      </w:rPr>
    </w:lvl>
    <w:lvl w:ilvl="1">
      <w:start w:val="1"/>
      <w:numFmt w:val="lowerLetter"/>
      <w:lvlText w:val="%2)"/>
      <w:lvlJc w:val="left"/>
      <w:pPr>
        <w:tabs>
          <w:tab w:val="num" w:pos="2251"/>
        </w:tabs>
        <w:ind w:left="2251" w:hanging="360"/>
      </w:pPr>
    </w:lvl>
    <w:lvl w:ilvl="2">
      <w:start w:val="1"/>
      <w:numFmt w:val="lowerRoman"/>
      <w:lvlText w:val="%3)"/>
      <w:lvlJc w:val="left"/>
      <w:pPr>
        <w:tabs>
          <w:tab w:val="num" w:pos="2611"/>
        </w:tabs>
        <w:ind w:left="2611" w:hanging="360"/>
      </w:pPr>
    </w:lvl>
    <w:lvl w:ilvl="3">
      <w:start w:val="1"/>
      <w:numFmt w:val="decimal"/>
      <w:lvlText w:val="(%4)"/>
      <w:lvlJc w:val="left"/>
      <w:pPr>
        <w:tabs>
          <w:tab w:val="num" w:pos="2971"/>
        </w:tabs>
        <w:ind w:left="2971" w:hanging="360"/>
      </w:pPr>
    </w:lvl>
    <w:lvl w:ilvl="4">
      <w:start w:val="1"/>
      <w:numFmt w:val="lowerLetter"/>
      <w:lvlText w:val="(%5)"/>
      <w:lvlJc w:val="left"/>
      <w:pPr>
        <w:tabs>
          <w:tab w:val="num" w:pos="3331"/>
        </w:tabs>
        <w:ind w:left="3331" w:hanging="360"/>
      </w:pPr>
    </w:lvl>
    <w:lvl w:ilvl="5">
      <w:start w:val="1"/>
      <w:numFmt w:val="lowerRoman"/>
      <w:lvlText w:val="(%6)"/>
      <w:lvlJc w:val="left"/>
      <w:pPr>
        <w:tabs>
          <w:tab w:val="num" w:pos="3691"/>
        </w:tabs>
        <w:ind w:left="3691" w:hanging="360"/>
      </w:pPr>
    </w:lvl>
    <w:lvl w:ilvl="6">
      <w:start w:val="1"/>
      <w:numFmt w:val="decimal"/>
      <w:lvlText w:val="%7."/>
      <w:lvlJc w:val="left"/>
      <w:pPr>
        <w:tabs>
          <w:tab w:val="num" w:pos="4051"/>
        </w:tabs>
        <w:ind w:left="4051" w:hanging="360"/>
      </w:pPr>
    </w:lvl>
    <w:lvl w:ilvl="7">
      <w:start w:val="1"/>
      <w:numFmt w:val="lowerLetter"/>
      <w:lvlText w:val="%8."/>
      <w:lvlJc w:val="left"/>
      <w:pPr>
        <w:tabs>
          <w:tab w:val="num" w:pos="4411"/>
        </w:tabs>
        <w:ind w:left="4411" w:hanging="360"/>
      </w:pPr>
    </w:lvl>
    <w:lvl w:ilvl="8">
      <w:start w:val="1"/>
      <w:numFmt w:val="lowerRoman"/>
      <w:lvlText w:val="%9."/>
      <w:lvlJc w:val="left"/>
      <w:pPr>
        <w:tabs>
          <w:tab w:val="num" w:pos="4771"/>
        </w:tabs>
        <w:ind w:left="4771" w:hanging="360"/>
      </w:pPr>
    </w:lvl>
  </w:abstractNum>
  <w:abstractNum w:abstractNumId="13"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4" w15:restartNumberingAfterBreak="0">
    <w:nsid w:val="3C926723"/>
    <w:multiLevelType w:val="hybridMultilevel"/>
    <w:tmpl w:val="4F526D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4686161"/>
    <w:multiLevelType w:val="hybridMultilevel"/>
    <w:tmpl w:val="17160A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20F2559"/>
    <w:multiLevelType w:val="hybridMultilevel"/>
    <w:tmpl w:val="E564DAE8"/>
    <w:lvl w:ilvl="0" w:tplc="9C18D650">
      <w:numFmt w:val="bullet"/>
      <w:lvlText w:val="•"/>
      <w:lvlJc w:val="left"/>
      <w:pPr>
        <w:ind w:left="1065" w:hanging="705"/>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2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22" w15:restartNumberingAfterBreak="0">
    <w:nsid w:val="7BAB229D"/>
    <w:multiLevelType w:val="hybridMultilevel"/>
    <w:tmpl w:val="A3A68C52"/>
    <w:lvl w:ilvl="0" w:tplc="9DA2D7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786394497">
    <w:abstractNumId w:val="23"/>
  </w:num>
  <w:num w:numId="2" w16cid:durableId="1309289063">
    <w:abstractNumId w:val="1"/>
  </w:num>
  <w:num w:numId="3" w16cid:durableId="1894585852">
    <w:abstractNumId w:val="18"/>
  </w:num>
  <w:num w:numId="4" w16cid:durableId="1978755961">
    <w:abstractNumId w:val="16"/>
  </w:num>
  <w:num w:numId="5" w16cid:durableId="858391408">
    <w:abstractNumId w:val="2"/>
  </w:num>
  <w:num w:numId="6" w16cid:durableId="206798215">
    <w:abstractNumId w:val="21"/>
  </w:num>
  <w:num w:numId="7" w16cid:durableId="13066199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2332180">
    <w:abstractNumId w:val="8"/>
  </w:num>
  <w:num w:numId="9" w16cid:durableId="1584684705">
    <w:abstractNumId w:val="3"/>
  </w:num>
  <w:num w:numId="10" w16cid:durableId="990596730">
    <w:abstractNumId w:val="13"/>
  </w:num>
  <w:num w:numId="11" w16cid:durableId="1844314899">
    <w:abstractNumId w:val="20"/>
  </w:num>
  <w:num w:numId="12" w16cid:durableId="474688284">
    <w:abstractNumId w:val="19"/>
  </w:num>
  <w:num w:numId="13" w16cid:durableId="1927572478">
    <w:abstractNumId w:val="11"/>
  </w:num>
  <w:num w:numId="14" w16cid:durableId="1866092719">
    <w:abstractNumId w:val="7"/>
  </w:num>
  <w:num w:numId="15" w16cid:durableId="928780500">
    <w:abstractNumId w:val="10"/>
  </w:num>
  <w:num w:numId="16" w16cid:durableId="1194615900">
    <w:abstractNumId w:val="12"/>
  </w:num>
  <w:num w:numId="17" w16cid:durableId="863444077">
    <w:abstractNumId w:val="9"/>
  </w:num>
  <w:num w:numId="18" w16cid:durableId="1740443935">
    <w:abstractNumId w:val="4"/>
  </w:num>
  <w:num w:numId="19" w16cid:durableId="793330122">
    <w:abstractNumId w:val="14"/>
  </w:num>
  <w:num w:numId="20" w16cid:durableId="733892124">
    <w:abstractNumId w:val="15"/>
  </w:num>
  <w:num w:numId="21" w16cid:durableId="1137263875">
    <w:abstractNumId w:val="0"/>
  </w:num>
  <w:num w:numId="22" w16cid:durableId="1028874416">
    <w:abstractNumId w:val="5"/>
  </w:num>
  <w:num w:numId="23" w16cid:durableId="1464422363">
    <w:abstractNumId w:val="22"/>
  </w:num>
  <w:num w:numId="24" w16cid:durableId="17467560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152B0"/>
    <w:rsid w:val="00030FF3"/>
    <w:rsid w:val="00046A0C"/>
    <w:rsid w:val="00051EEE"/>
    <w:rsid w:val="000555AD"/>
    <w:rsid w:val="00056EC0"/>
    <w:rsid w:val="00081748"/>
    <w:rsid w:val="00097E64"/>
    <w:rsid w:val="000C1235"/>
    <w:rsid w:val="000D5701"/>
    <w:rsid w:val="000F3088"/>
    <w:rsid w:val="00100C37"/>
    <w:rsid w:val="00105AD1"/>
    <w:rsid w:val="0011628D"/>
    <w:rsid w:val="0012313C"/>
    <w:rsid w:val="00154639"/>
    <w:rsid w:val="00163A5E"/>
    <w:rsid w:val="00174C4B"/>
    <w:rsid w:val="001D6ED5"/>
    <w:rsid w:val="00200825"/>
    <w:rsid w:val="00226427"/>
    <w:rsid w:val="00267D40"/>
    <w:rsid w:val="00285175"/>
    <w:rsid w:val="002A1CF2"/>
    <w:rsid w:val="002D5DD1"/>
    <w:rsid w:val="00302443"/>
    <w:rsid w:val="00351C61"/>
    <w:rsid w:val="003B0543"/>
    <w:rsid w:val="003B63DE"/>
    <w:rsid w:val="004070D7"/>
    <w:rsid w:val="004208C2"/>
    <w:rsid w:val="00423E03"/>
    <w:rsid w:val="0043100C"/>
    <w:rsid w:val="004E4B9B"/>
    <w:rsid w:val="004E7E4B"/>
    <w:rsid w:val="00530780"/>
    <w:rsid w:val="005375B6"/>
    <w:rsid w:val="00592481"/>
    <w:rsid w:val="005B72D5"/>
    <w:rsid w:val="005B72E6"/>
    <w:rsid w:val="005C1193"/>
    <w:rsid w:val="005C37F0"/>
    <w:rsid w:val="005E2E83"/>
    <w:rsid w:val="00602AFA"/>
    <w:rsid w:val="006172A9"/>
    <w:rsid w:val="0062183F"/>
    <w:rsid w:val="00621D93"/>
    <w:rsid w:val="00645C6A"/>
    <w:rsid w:val="006527DB"/>
    <w:rsid w:val="0066567D"/>
    <w:rsid w:val="00696EB5"/>
    <w:rsid w:val="006A27A6"/>
    <w:rsid w:val="006E17BA"/>
    <w:rsid w:val="00730DBA"/>
    <w:rsid w:val="00734514"/>
    <w:rsid w:val="00735C3D"/>
    <w:rsid w:val="00747B9D"/>
    <w:rsid w:val="007B14D4"/>
    <w:rsid w:val="007C20F8"/>
    <w:rsid w:val="007E550C"/>
    <w:rsid w:val="00800A1E"/>
    <w:rsid w:val="008337B7"/>
    <w:rsid w:val="0087317C"/>
    <w:rsid w:val="00873E73"/>
    <w:rsid w:val="008757A7"/>
    <w:rsid w:val="00890A9A"/>
    <w:rsid w:val="008D5266"/>
    <w:rsid w:val="008F1965"/>
    <w:rsid w:val="009320DE"/>
    <w:rsid w:val="00953F9B"/>
    <w:rsid w:val="00973419"/>
    <w:rsid w:val="009D1ADA"/>
    <w:rsid w:val="00A15F89"/>
    <w:rsid w:val="00A175D1"/>
    <w:rsid w:val="00A220F4"/>
    <w:rsid w:val="00A61090"/>
    <w:rsid w:val="00A81E88"/>
    <w:rsid w:val="00A9579E"/>
    <w:rsid w:val="00AB6068"/>
    <w:rsid w:val="00AC6AD8"/>
    <w:rsid w:val="00B02F4E"/>
    <w:rsid w:val="00B22C5B"/>
    <w:rsid w:val="00B42537"/>
    <w:rsid w:val="00BA6766"/>
    <w:rsid w:val="00BC4DD2"/>
    <w:rsid w:val="00BD6137"/>
    <w:rsid w:val="00BD7586"/>
    <w:rsid w:val="00BE3933"/>
    <w:rsid w:val="00BF6136"/>
    <w:rsid w:val="00C327A8"/>
    <w:rsid w:val="00C512C3"/>
    <w:rsid w:val="00C77AF2"/>
    <w:rsid w:val="00C82D86"/>
    <w:rsid w:val="00CA3365"/>
    <w:rsid w:val="00CB5669"/>
    <w:rsid w:val="00CB794B"/>
    <w:rsid w:val="00CC14C0"/>
    <w:rsid w:val="00D03711"/>
    <w:rsid w:val="00D140C5"/>
    <w:rsid w:val="00D2312B"/>
    <w:rsid w:val="00D33CF9"/>
    <w:rsid w:val="00D3697F"/>
    <w:rsid w:val="00DA2A67"/>
    <w:rsid w:val="00DC677A"/>
    <w:rsid w:val="00DD28A9"/>
    <w:rsid w:val="00DF5B7F"/>
    <w:rsid w:val="00E129DD"/>
    <w:rsid w:val="00E24430"/>
    <w:rsid w:val="00E27CF3"/>
    <w:rsid w:val="00E70077"/>
    <w:rsid w:val="00E9159F"/>
    <w:rsid w:val="00FE20E9"/>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B72D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table" w:customStyle="1" w:styleId="Tabellenraster1">
    <w:name w:val="Tabellenraster1"/>
    <w:basedOn w:val="NormaleTabelle"/>
    <w:next w:val="Tabellenraster"/>
    <w:uiPriority w:val="39"/>
    <w:rsid w:val="002A1CF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74C4B"/>
    <w:pPr>
      <w:numPr>
        <w:numId w:val="16"/>
      </w:numPr>
      <w:tabs>
        <w:tab w:val="left" w:pos="1928"/>
      </w:tabs>
      <w:overflowPunct w:val="0"/>
      <w:autoSpaceDE w:val="0"/>
      <w:autoSpaceDN w:val="0"/>
      <w:adjustRightInd w:val="0"/>
      <w:spacing w:before="40" w:after="40" w:line="300" w:lineRule="auto"/>
      <w:ind w:left="1888" w:hanging="357"/>
      <w:textAlignment w:val="baseline"/>
    </w:pPr>
    <w:rPr>
      <w:rFonts w:ascii="Arial" w:eastAsia="Times New Roman" w:hAnsi="Arial" w:cs="Times New Roman"/>
      <w:color w:val="000000"/>
      <w:szCs w:val="24"/>
      <w:lang w:eastAsia="de-DE"/>
    </w:rPr>
  </w:style>
  <w:style w:type="character" w:customStyle="1" w:styleId="StrongEmphasis">
    <w:name w:val="Strong Emphasis"/>
    <w:qFormat/>
    <w:rsid w:val="00285175"/>
    <w:rPr>
      <w:b/>
      <w:bCs/>
    </w:rPr>
  </w:style>
  <w:style w:type="character" w:styleId="NichtaufgelsteErwhnung">
    <w:name w:val="Unresolved Mention"/>
    <w:basedOn w:val="Absatz-Standardschriftart"/>
    <w:uiPriority w:val="99"/>
    <w:semiHidden/>
    <w:unhideWhenUsed/>
    <w:rsid w:val="005B72D5"/>
    <w:rPr>
      <w:color w:val="605E5C"/>
      <w:shd w:val="clear" w:color="auto" w:fill="E1DFDD"/>
    </w:rPr>
  </w:style>
  <w:style w:type="table" w:styleId="Gitternetztabelle1hellAkzent5">
    <w:name w:val="Grid Table 1 Light Accent 5"/>
    <w:basedOn w:val="NormaleTabelle"/>
    <w:uiPriority w:val="46"/>
    <w:rsid w:val="00DF5B7F"/>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DF5B7F"/>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itternetztabelle4Akzent1">
    <w:name w:val="Grid Table 4 Accent 1"/>
    <w:basedOn w:val="NormaleTabelle"/>
    <w:uiPriority w:val="49"/>
    <w:rsid w:val="00DF5B7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095976869">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1422</Words>
  <Characters>8963</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Ziebolz, Natalie</dc:creator>
  <cp:lastModifiedBy>Ziebolz, Natalie</cp:lastModifiedBy>
  <cp:revision>2</cp:revision>
  <dcterms:created xsi:type="dcterms:W3CDTF">2026-09-24T10:04:00Z</dcterms:created>
  <dcterms:modified xsi:type="dcterms:W3CDTF">2026-09-24T10:04:00Z</dcterms:modified>
</cp:coreProperties>
</file>